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BBE5D" w14:textId="77777777" w:rsidR="00216B8E" w:rsidRDefault="00216B8E" w:rsidP="002846A7">
      <w:pPr>
        <w:jc w:val="both"/>
        <w:rPr>
          <w:b/>
          <w:sz w:val="20"/>
          <w:szCs w:val="20"/>
        </w:rPr>
      </w:pPr>
      <w:bookmarkStart w:id="0" w:name="_GoBack"/>
      <w:bookmarkEnd w:id="0"/>
    </w:p>
    <w:p w14:paraId="7572C2E2" w14:textId="77777777" w:rsidR="006A3059" w:rsidRPr="00216B8E" w:rsidRDefault="006A3059" w:rsidP="002846A7">
      <w:pPr>
        <w:jc w:val="both"/>
        <w:rPr>
          <w:sz w:val="18"/>
          <w:szCs w:val="18"/>
        </w:rPr>
      </w:pPr>
      <w:r w:rsidRPr="00216B8E">
        <w:rPr>
          <w:b/>
          <w:sz w:val="18"/>
          <w:szCs w:val="18"/>
        </w:rPr>
        <w:t>Consigne</w:t>
      </w:r>
      <w:r w:rsidRPr="00216B8E">
        <w:rPr>
          <w:sz w:val="18"/>
          <w:szCs w:val="18"/>
        </w:rPr>
        <w:t> : Ce questionnaire vise à mesurer la sensibilisation pelvienne à la douleur. Il est utilisable chez les patients présentant des douleurs pelvi-périnéales évoluant depuis plus de trois mois dont les symptômes apparaissent disproportionnés par rapport aux éléments lésionnels constatés par les examens cliniques et les examens complémentaires (bilan infectieux, imageries, endoscopies). Ce questionnaire doit être rempli par le praticien. Pour chaque énoncé, veuillez cocher la case « oui » si les symptômes décrits sont présents, la case « non » si les</w:t>
      </w:r>
      <w:r w:rsidR="00216B8E" w:rsidRPr="00216B8E">
        <w:rPr>
          <w:sz w:val="18"/>
          <w:szCs w:val="18"/>
        </w:rPr>
        <w:t xml:space="preserve"> symptômes décrits sont absents.</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3"/>
        <w:gridCol w:w="954"/>
        <w:gridCol w:w="1407"/>
      </w:tblGrid>
      <w:tr w:rsidR="00216B8E" w:rsidRPr="00981004" w14:paraId="11CA2B99" w14:textId="77777777" w:rsidTr="00216B8E">
        <w:trPr>
          <w:trHeight w:val="289"/>
        </w:trPr>
        <w:tc>
          <w:tcPr>
            <w:tcW w:w="11673" w:type="dxa"/>
            <w:tcBorders>
              <w:top w:val="nil"/>
              <w:left w:val="nil"/>
            </w:tcBorders>
          </w:tcPr>
          <w:p w14:paraId="4EAB54C8" w14:textId="77777777" w:rsidR="00216B8E" w:rsidRPr="00981004" w:rsidRDefault="00216B8E" w:rsidP="002846A7">
            <w:pPr>
              <w:spacing w:after="0" w:line="240" w:lineRule="auto"/>
              <w:jc w:val="both"/>
              <w:rPr>
                <w:sz w:val="24"/>
                <w:szCs w:val="24"/>
              </w:rPr>
            </w:pPr>
          </w:p>
        </w:tc>
        <w:tc>
          <w:tcPr>
            <w:tcW w:w="954" w:type="dxa"/>
          </w:tcPr>
          <w:p w14:paraId="1DE06017" w14:textId="77777777" w:rsidR="00216B8E" w:rsidRPr="008E26EF" w:rsidRDefault="00216B8E" w:rsidP="002846A7">
            <w:pPr>
              <w:spacing w:after="0" w:line="240" w:lineRule="auto"/>
              <w:jc w:val="center"/>
              <w:rPr>
                <w:sz w:val="20"/>
                <w:szCs w:val="20"/>
              </w:rPr>
            </w:pPr>
            <w:r w:rsidRPr="008E26EF">
              <w:rPr>
                <w:sz w:val="20"/>
                <w:szCs w:val="20"/>
              </w:rPr>
              <w:t>Oui</w:t>
            </w:r>
          </w:p>
        </w:tc>
        <w:tc>
          <w:tcPr>
            <w:tcW w:w="1407" w:type="dxa"/>
          </w:tcPr>
          <w:p w14:paraId="43D30741" w14:textId="77777777" w:rsidR="00216B8E" w:rsidRPr="008E26EF" w:rsidRDefault="00216B8E" w:rsidP="002846A7">
            <w:pPr>
              <w:spacing w:after="0" w:line="240" w:lineRule="auto"/>
              <w:jc w:val="center"/>
              <w:rPr>
                <w:sz w:val="20"/>
                <w:szCs w:val="20"/>
              </w:rPr>
            </w:pPr>
            <w:r w:rsidRPr="008E26EF">
              <w:rPr>
                <w:sz w:val="20"/>
                <w:szCs w:val="20"/>
              </w:rPr>
              <w:t>Non</w:t>
            </w:r>
          </w:p>
        </w:tc>
      </w:tr>
      <w:tr w:rsidR="00216B8E" w:rsidRPr="00981004" w14:paraId="0B5DBE6C" w14:textId="77777777" w:rsidTr="00216B8E">
        <w:trPr>
          <w:trHeight w:val="229"/>
        </w:trPr>
        <w:tc>
          <w:tcPr>
            <w:tcW w:w="11673" w:type="dxa"/>
          </w:tcPr>
          <w:p w14:paraId="13F73E0A"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Douleurs influencées lors du remplissage vésical et/ou la miction</w:t>
            </w:r>
          </w:p>
        </w:tc>
        <w:tc>
          <w:tcPr>
            <w:tcW w:w="954" w:type="dxa"/>
          </w:tcPr>
          <w:p w14:paraId="0F13B49E" w14:textId="77777777" w:rsidR="00216B8E" w:rsidRPr="00981004" w:rsidRDefault="00216B8E" w:rsidP="00912E96">
            <w:pPr>
              <w:spacing w:after="0" w:line="360" w:lineRule="auto"/>
              <w:jc w:val="both"/>
              <w:rPr>
                <w:sz w:val="24"/>
                <w:szCs w:val="24"/>
              </w:rPr>
            </w:pPr>
          </w:p>
        </w:tc>
        <w:tc>
          <w:tcPr>
            <w:tcW w:w="1407" w:type="dxa"/>
          </w:tcPr>
          <w:p w14:paraId="0204C09B" w14:textId="77777777" w:rsidR="00216B8E" w:rsidRPr="00981004" w:rsidRDefault="00216B8E" w:rsidP="00912E96">
            <w:pPr>
              <w:spacing w:after="0" w:line="360" w:lineRule="auto"/>
              <w:jc w:val="both"/>
              <w:rPr>
                <w:sz w:val="24"/>
                <w:szCs w:val="24"/>
              </w:rPr>
            </w:pPr>
          </w:p>
        </w:tc>
      </w:tr>
      <w:tr w:rsidR="00216B8E" w:rsidRPr="00981004" w14:paraId="7E7E5DE4" w14:textId="77777777" w:rsidTr="00216B8E">
        <w:trPr>
          <w:trHeight w:val="275"/>
        </w:trPr>
        <w:tc>
          <w:tcPr>
            <w:tcW w:w="11673" w:type="dxa"/>
          </w:tcPr>
          <w:p w14:paraId="265EECFC"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Douleurs influencées lors de la distension et/ou la vidange rectale (matières, gaz)</w:t>
            </w:r>
          </w:p>
        </w:tc>
        <w:tc>
          <w:tcPr>
            <w:tcW w:w="954" w:type="dxa"/>
          </w:tcPr>
          <w:p w14:paraId="22B64F6A" w14:textId="77777777" w:rsidR="00216B8E" w:rsidRPr="00981004" w:rsidRDefault="00216B8E" w:rsidP="00912E96">
            <w:pPr>
              <w:spacing w:after="0" w:line="360" w:lineRule="auto"/>
              <w:jc w:val="center"/>
              <w:rPr>
                <w:sz w:val="24"/>
                <w:szCs w:val="24"/>
              </w:rPr>
            </w:pPr>
          </w:p>
        </w:tc>
        <w:tc>
          <w:tcPr>
            <w:tcW w:w="1407" w:type="dxa"/>
          </w:tcPr>
          <w:p w14:paraId="471151DD" w14:textId="77777777" w:rsidR="00216B8E" w:rsidRPr="00981004" w:rsidRDefault="00216B8E" w:rsidP="00912E96">
            <w:pPr>
              <w:spacing w:after="0" w:line="360" w:lineRule="auto"/>
              <w:jc w:val="center"/>
              <w:rPr>
                <w:sz w:val="24"/>
                <w:szCs w:val="24"/>
              </w:rPr>
            </w:pPr>
          </w:p>
        </w:tc>
      </w:tr>
      <w:tr w:rsidR="00216B8E" w:rsidRPr="00981004" w14:paraId="3639B6F8" w14:textId="77777777" w:rsidTr="00216B8E">
        <w:trPr>
          <w:trHeight w:val="171"/>
        </w:trPr>
        <w:tc>
          <w:tcPr>
            <w:tcW w:w="11673" w:type="dxa"/>
          </w:tcPr>
          <w:p w14:paraId="50E4EAD0"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Douleurs influencées lors de l’activité sexuelle</w:t>
            </w:r>
          </w:p>
        </w:tc>
        <w:tc>
          <w:tcPr>
            <w:tcW w:w="954" w:type="dxa"/>
          </w:tcPr>
          <w:p w14:paraId="7911187B" w14:textId="77777777" w:rsidR="00216B8E" w:rsidRPr="00981004" w:rsidRDefault="00216B8E" w:rsidP="00912E96">
            <w:pPr>
              <w:spacing w:after="0" w:line="360" w:lineRule="auto"/>
              <w:jc w:val="center"/>
              <w:rPr>
                <w:sz w:val="24"/>
                <w:szCs w:val="24"/>
              </w:rPr>
            </w:pPr>
          </w:p>
        </w:tc>
        <w:tc>
          <w:tcPr>
            <w:tcW w:w="1407" w:type="dxa"/>
          </w:tcPr>
          <w:p w14:paraId="1FE52E9B" w14:textId="77777777" w:rsidR="00216B8E" w:rsidRPr="00981004" w:rsidRDefault="00216B8E" w:rsidP="00912E96">
            <w:pPr>
              <w:spacing w:after="0" w:line="360" w:lineRule="auto"/>
              <w:jc w:val="center"/>
              <w:rPr>
                <w:sz w:val="24"/>
                <w:szCs w:val="24"/>
              </w:rPr>
            </w:pPr>
          </w:p>
        </w:tc>
      </w:tr>
      <w:tr w:rsidR="00216B8E" w:rsidRPr="00981004" w14:paraId="6CC04342" w14:textId="77777777" w:rsidTr="00216B8E">
        <w:trPr>
          <w:trHeight w:val="217"/>
        </w:trPr>
        <w:tc>
          <w:tcPr>
            <w:tcW w:w="11673" w:type="dxa"/>
          </w:tcPr>
          <w:p w14:paraId="5F2D0695"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Allodynie pelvi périnéale (impossibilité d’utiliser des tampons, intolérance aux ports des sous-vêtements serrés)</w:t>
            </w:r>
          </w:p>
        </w:tc>
        <w:tc>
          <w:tcPr>
            <w:tcW w:w="954" w:type="dxa"/>
          </w:tcPr>
          <w:p w14:paraId="5D626EB3" w14:textId="77777777" w:rsidR="00216B8E" w:rsidRPr="00981004" w:rsidRDefault="00216B8E" w:rsidP="00912E96">
            <w:pPr>
              <w:spacing w:after="0" w:line="360" w:lineRule="auto"/>
              <w:jc w:val="center"/>
              <w:rPr>
                <w:sz w:val="24"/>
                <w:szCs w:val="24"/>
              </w:rPr>
            </w:pPr>
          </w:p>
        </w:tc>
        <w:tc>
          <w:tcPr>
            <w:tcW w:w="1407" w:type="dxa"/>
          </w:tcPr>
          <w:p w14:paraId="243DAA70" w14:textId="77777777" w:rsidR="00216B8E" w:rsidRPr="00981004" w:rsidRDefault="00216B8E" w:rsidP="00912E96">
            <w:pPr>
              <w:spacing w:after="0" w:line="360" w:lineRule="auto"/>
              <w:jc w:val="center"/>
              <w:rPr>
                <w:sz w:val="24"/>
                <w:szCs w:val="24"/>
              </w:rPr>
            </w:pPr>
          </w:p>
        </w:tc>
      </w:tr>
      <w:tr w:rsidR="00216B8E" w:rsidRPr="00981004" w14:paraId="2BCFFDDD" w14:textId="77777777" w:rsidTr="00216B8E">
        <w:trPr>
          <w:trHeight w:val="446"/>
        </w:trPr>
        <w:tc>
          <w:tcPr>
            <w:tcW w:w="11673" w:type="dxa"/>
          </w:tcPr>
          <w:p w14:paraId="26E11A23"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Présence de points gâchette pelviens (puriforme, obturateurs internes, élévateurs de l’anus)</w:t>
            </w:r>
          </w:p>
        </w:tc>
        <w:tc>
          <w:tcPr>
            <w:tcW w:w="954" w:type="dxa"/>
          </w:tcPr>
          <w:p w14:paraId="24B47E91" w14:textId="77777777" w:rsidR="00216B8E" w:rsidRPr="00981004" w:rsidRDefault="00216B8E" w:rsidP="00912E96">
            <w:pPr>
              <w:spacing w:after="0" w:line="360" w:lineRule="auto"/>
              <w:jc w:val="center"/>
              <w:rPr>
                <w:sz w:val="24"/>
                <w:szCs w:val="24"/>
              </w:rPr>
            </w:pPr>
          </w:p>
        </w:tc>
        <w:tc>
          <w:tcPr>
            <w:tcW w:w="1407" w:type="dxa"/>
          </w:tcPr>
          <w:p w14:paraId="3B684FF3" w14:textId="77777777" w:rsidR="00216B8E" w:rsidRPr="00981004" w:rsidRDefault="00216B8E" w:rsidP="00912E96">
            <w:pPr>
              <w:spacing w:after="0" w:line="360" w:lineRule="auto"/>
              <w:jc w:val="center"/>
              <w:rPr>
                <w:sz w:val="24"/>
                <w:szCs w:val="24"/>
              </w:rPr>
            </w:pPr>
          </w:p>
        </w:tc>
      </w:tr>
      <w:tr w:rsidR="00216B8E" w:rsidRPr="00981004" w14:paraId="28D5D78D" w14:textId="77777777" w:rsidTr="00216B8E">
        <w:trPr>
          <w:trHeight w:val="375"/>
        </w:trPr>
        <w:tc>
          <w:tcPr>
            <w:tcW w:w="11673" w:type="dxa"/>
          </w:tcPr>
          <w:p w14:paraId="654ABFEE"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Douleurs post-mictionnelles</w:t>
            </w:r>
          </w:p>
        </w:tc>
        <w:tc>
          <w:tcPr>
            <w:tcW w:w="954" w:type="dxa"/>
          </w:tcPr>
          <w:p w14:paraId="7FB1F396" w14:textId="77777777" w:rsidR="00216B8E" w:rsidRPr="00981004" w:rsidRDefault="00216B8E" w:rsidP="00912E96">
            <w:pPr>
              <w:spacing w:after="0" w:line="360" w:lineRule="auto"/>
              <w:jc w:val="center"/>
              <w:rPr>
                <w:sz w:val="24"/>
                <w:szCs w:val="24"/>
              </w:rPr>
            </w:pPr>
          </w:p>
        </w:tc>
        <w:tc>
          <w:tcPr>
            <w:tcW w:w="1407" w:type="dxa"/>
          </w:tcPr>
          <w:p w14:paraId="68DAB16F" w14:textId="77777777" w:rsidR="00216B8E" w:rsidRPr="00981004" w:rsidRDefault="00216B8E" w:rsidP="00912E96">
            <w:pPr>
              <w:spacing w:after="0" w:line="360" w:lineRule="auto"/>
              <w:jc w:val="center"/>
              <w:rPr>
                <w:sz w:val="24"/>
                <w:szCs w:val="24"/>
              </w:rPr>
            </w:pPr>
          </w:p>
        </w:tc>
      </w:tr>
      <w:tr w:rsidR="00216B8E" w:rsidRPr="00981004" w14:paraId="1DAEF6D6" w14:textId="77777777" w:rsidTr="00216B8E">
        <w:trPr>
          <w:trHeight w:val="211"/>
        </w:trPr>
        <w:tc>
          <w:tcPr>
            <w:tcW w:w="11673" w:type="dxa"/>
          </w:tcPr>
          <w:p w14:paraId="2EBB091A"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Douleurs pos-défécatoires</w:t>
            </w:r>
          </w:p>
        </w:tc>
        <w:tc>
          <w:tcPr>
            <w:tcW w:w="954" w:type="dxa"/>
          </w:tcPr>
          <w:p w14:paraId="5858EBDB" w14:textId="77777777" w:rsidR="00216B8E" w:rsidRPr="00981004" w:rsidRDefault="00216B8E" w:rsidP="00912E96">
            <w:pPr>
              <w:spacing w:after="0" w:line="360" w:lineRule="auto"/>
              <w:jc w:val="center"/>
              <w:rPr>
                <w:sz w:val="24"/>
                <w:szCs w:val="24"/>
              </w:rPr>
            </w:pPr>
          </w:p>
        </w:tc>
        <w:tc>
          <w:tcPr>
            <w:tcW w:w="1407" w:type="dxa"/>
          </w:tcPr>
          <w:p w14:paraId="665D2059" w14:textId="77777777" w:rsidR="00216B8E" w:rsidRPr="00981004" w:rsidRDefault="00216B8E" w:rsidP="00912E96">
            <w:pPr>
              <w:spacing w:after="0" w:line="360" w:lineRule="auto"/>
              <w:jc w:val="center"/>
              <w:rPr>
                <w:sz w:val="24"/>
                <w:szCs w:val="24"/>
              </w:rPr>
            </w:pPr>
          </w:p>
        </w:tc>
      </w:tr>
      <w:tr w:rsidR="00216B8E" w:rsidRPr="00981004" w14:paraId="49801105" w14:textId="77777777" w:rsidTr="00216B8E">
        <w:trPr>
          <w:trHeight w:val="485"/>
        </w:trPr>
        <w:tc>
          <w:tcPr>
            <w:tcW w:w="11673" w:type="dxa"/>
          </w:tcPr>
          <w:p w14:paraId="5C4036EC"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Douleurs persistantes après l’activité sexuelle</w:t>
            </w:r>
          </w:p>
        </w:tc>
        <w:tc>
          <w:tcPr>
            <w:tcW w:w="954" w:type="dxa"/>
          </w:tcPr>
          <w:p w14:paraId="2687EB01" w14:textId="77777777" w:rsidR="00216B8E" w:rsidRPr="00981004" w:rsidRDefault="00216B8E" w:rsidP="00912E96">
            <w:pPr>
              <w:spacing w:after="0" w:line="360" w:lineRule="auto"/>
              <w:jc w:val="center"/>
              <w:rPr>
                <w:sz w:val="24"/>
                <w:szCs w:val="24"/>
              </w:rPr>
            </w:pPr>
          </w:p>
        </w:tc>
        <w:tc>
          <w:tcPr>
            <w:tcW w:w="1407" w:type="dxa"/>
          </w:tcPr>
          <w:p w14:paraId="474F5516" w14:textId="77777777" w:rsidR="00216B8E" w:rsidRPr="00981004" w:rsidRDefault="00216B8E" w:rsidP="00912E96">
            <w:pPr>
              <w:spacing w:after="0" w:line="360" w:lineRule="auto"/>
              <w:jc w:val="center"/>
              <w:rPr>
                <w:sz w:val="24"/>
                <w:szCs w:val="24"/>
              </w:rPr>
            </w:pPr>
          </w:p>
        </w:tc>
      </w:tr>
      <w:tr w:rsidR="00216B8E" w:rsidRPr="00981004" w14:paraId="672BFFC6" w14:textId="77777777" w:rsidTr="00216B8E">
        <w:trPr>
          <w:trHeight w:val="485"/>
        </w:trPr>
        <w:tc>
          <w:tcPr>
            <w:tcW w:w="11673" w:type="dxa"/>
          </w:tcPr>
          <w:p w14:paraId="5119D976" w14:textId="77777777" w:rsidR="00216B8E" w:rsidRPr="00B75014" w:rsidRDefault="00216B8E" w:rsidP="008E26EF">
            <w:pPr>
              <w:pStyle w:val="Paragraphedeliste"/>
              <w:numPr>
                <w:ilvl w:val="0"/>
                <w:numId w:val="1"/>
              </w:numPr>
              <w:spacing w:after="0" w:line="360" w:lineRule="auto"/>
              <w:jc w:val="both"/>
              <w:rPr>
                <w:sz w:val="18"/>
                <w:szCs w:val="18"/>
              </w:rPr>
            </w:pPr>
            <w:r w:rsidRPr="00B75014">
              <w:rPr>
                <w:sz w:val="18"/>
                <w:szCs w:val="18"/>
              </w:rPr>
              <w:t>Variabilité de l’intensité douloureuse (évolution par périodes, évolution en dents de scie) et/ou de la topographie douloureuse</w:t>
            </w:r>
          </w:p>
        </w:tc>
        <w:tc>
          <w:tcPr>
            <w:tcW w:w="954" w:type="dxa"/>
          </w:tcPr>
          <w:p w14:paraId="67B86C3D" w14:textId="77777777" w:rsidR="00216B8E" w:rsidRPr="00981004" w:rsidRDefault="00216B8E" w:rsidP="00912E96">
            <w:pPr>
              <w:spacing w:after="0" w:line="360" w:lineRule="auto"/>
              <w:jc w:val="center"/>
              <w:rPr>
                <w:sz w:val="24"/>
                <w:szCs w:val="24"/>
              </w:rPr>
            </w:pPr>
          </w:p>
        </w:tc>
        <w:tc>
          <w:tcPr>
            <w:tcW w:w="1407" w:type="dxa"/>
          </w:tcPr>
          <w:p w14:paraId="291D6157" w14:textId="77777777" w:rsidR="00216B8E" w:rsidRPr="00981004" w:rsidRDefault="00216B8E" w:rsidP="00912E96">
            <w:pPr>
              <w:spacing w:after="0" w:line="360" w:lineRule="auto"/>
              <w:jc w:val="center"/>
              <w:rPr>
                <w:sz w:val="24"/>
                <w:szCs w:val="24"/>
              </w:rPr>
            </w:pPr>
          </w:p>
        </w:tc>
      </w:tr>
      <w:tr w:rsidR="00216B8E" w:rsidRPr="00981004" w14:paraId="49B9DCE3" w14:textId="77777777" w:rsidTr="00216B8E">
        <w:trPr>
          <w:trHeight w:val="485"/>
        </w:trPr>
        <w:tc>
          <w:tcPr>
            <w:tcW w:w="11673" w:type="dxa"/>
          </w:tcPr>
          <w:p w14:paraId="1E003F79" w14:textId="77777777" w:rsidR="00216B8E" w:rsidRPr="00B75014" w:rsidRDefault="00216B8E" w:rsidP="008E26EF">
            <w:pPr>
              <w:pStyle w:val="Paragraphedeliste"/>
              <w:numPr>
                <w:ilvl w:val="0"/>
                <w:numId w:val="1"/>
              </w:numPr>
              <w:spacing w:after="0" w:line="240" w:lineRule="auto"/>
              <w:jc w:val="both"/>
              <w:rPr>
                <w:sz w:val="18"/>
                <w:szCs w:val="18"/>
              </w:rPr>
            </w:pPr>
            <w:r w:rsidRPr="00B75014">
              <w:rPr>
                <w:sz w:val="18"/>
                <w:szCs w:val="18"/>
              </w:rPr>
              <w:t>Migraines et/ou céphalées de tension et/ou fibromyalgie et/ou syndrome de fatigue chronique et/ou syndrome de stress post-traumatique et/ou syndrome de jambes sans repos et/ou SADAM et/ou intolérances multiples aux produits chimiques</w:t>
            </w:r>
          </w:p>
        </w:tc>
        <w:tc>
          <w:tcPr>
            <w:tcW w:w="954" w:type="dxa"/>
          </w:tcPr>
          <w:p w14:paraId="0A8FD80E" w14:textId="77777777" w:rsidR="00216B8E" w:rsidRPr="00981004" w:rsidRDefault="00216B8E" w:rsidP="00912E96">
            <w:pPr>
              <w:spacing w:after="0" w:line="360" w:lineRule="auto"/>
              <w:jc w:val="center"/>
              <w:rPr>
                <w:sz w:val="24"/>
                <w:szCs w:val="24"/>
              </w:rPr>
            </w:pPr>
          </w:p>
        </w:tc>
        <w:tc>
          <w:tcPr>
            <w:tcW w:w="1407" w:type="dxa"/>
          </w:tcPr>
          <w:p w14:paraId="4B60556C" w14:textId="77777777" w:rsidR="00216B8E" w:rsidRPr="00981004" w:rsidRDefault="00216B8E" w:rsidP="00912E96">
            <w:pPr>
              <w:spacing w:after="0" w:line="360" w:lineRule="auto"/>
              <w:jc w:val="center"/>
              <w:rPr>
                <w:sz w:val="24"/>
                <w:szCs w:val="24"/>
              </w:rPr>
            </w:pPr>
          </w:p>
        </w:tc>
      </w:tr>
    </w:tbl>
    <w:p w14:paraId="7A5BC355" w14:textId="77777777" w:rsidR="006A3059" w:rsidRDefault="006A3059" w:rsidP="00912E96">
      <w:pPr>
        <w:spacing w:line="360" w:lineRule="auto"/>
        <w:jc w:val="center"/>
        <w:rPr>
          <w:sz w:val="28"/>
          <w:szCs w:val="28"/>
          <w:highlight w:val="yellow"/>
        </w:rPr>
      </w:pPr>
    </w:p>
    <w:p w14:paraId="2D619009" w14:textId="77777777" w:rsidR="006A3059" w:rsidRPr="00912E96" w:rsidRDefault="006A3059" w:rsidP="00912E96">
      <w:pPr>
        <w:spacing w:line="360" w:lineRule="auto"/>
        <w:jc w:val="center"/>
        <w:rPr>
          <w:sz w:val="28"/>
          <w:szCs w:val="28"/>
        </w:rPr>
      </w:pPr>
      <w:r>
        <w:rPr>
          <w:sz w:val="24"/>
          <w:szCs w:val="24"/>
        </w:rPr>
        <w:br w:type="page"/>
      </w:r>
    </w:p>
    <w:p w14:paraId="12DF825D" w14:textId="77777777" w:rsidR="006A3059" w:rsidRPr="00963E2C" w:rsidRDefault="006A3059" w:rsidP="00963E2C">
      <w:pPr>
        <w:jc w:val="center"/>
        <w:rPr>
          <w:sz w:val="24"/>
          <w:szCs w:val="24"/>
        </w:rPr>
      </w:pPr>
    </w:p>
    <w:sectPr w:rsidR="006A3059" w:rsidRPr="00963E2C" w:rsidSect="00912E96">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3A90E" w14:textId="77777777" w:rsidR="00F121EA" w:rsidRDefault="00F121EA" w:rsidP="00695F2E">
      <w:pPr>
        <w:spacing w:after="0" w:line="240" w:lineRule="auto"/>
      </w:pPr>
      <w:r>
        <w:separator/>
      </w:r>
    </w:p>
  </w:endnote>
  <w:endnote w:type="continuationSeparator" w:id="0">
    <w:p w14:paraId="397B1824" w14:textId="77777777" w:rsidR="00F121EA" w:rsidRDefault="00F121EA" w:rsidP="0069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2278C" w14:textId="77777777" w:rsidR="008E26EF" w:rsidRDefault="008E26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3FE14" w14:textId="77777777" w:rsidR="008E26EF" w:rsidRDefault="008E26E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CAC7" w14:textId="77777777" w:rsidR="008E26EF" w:rsidRDefault="008E26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77B36" w14:textId="77777777" w:rsidR="00F121EA" w:rsidRDefault="00F121EA" w:rsidP="00695F2E">
      <w:pPr>
        <w:spacing w:after="0" w:line="240" w:lineRule="auto"/>
      </w:pPr>
      <w:r>
        <w:separator/>
      </w:r>
    </w:p>
  </w:footnote>
  <w:footnote w:type="continuationSeparator" w:id="0">
    <w:p w14:paraId="49AAF26A" w14:textId="77777777" w:rsidR="00F121EA" w:rsidRDefault="00F121EA" w:rsidP="0069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7FCAB" w14:textId="77777777" w:rsidR="008E26EF" w:rsidRDefault="008E26E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D71D" w14:textId="77777777" w:rsidR="006A3059" w:rsidRPr="001743A0" w:rsidRDefault="005D4C86" w:rsidP="001743A0">
    <w:pPr>
      <w:pStyle w:val="En-tte"/>
      <w:jc w:val="center"/>
      <w:rPr>
        <w:rFonts w:ascii="Times New Roman" w:hAnsi="Times New Roman"/>
        <w:b/>
        <w:sz w:val="32"/>
        <w:szCs w:val="32"/>
      </w:rPr>
    </w:pPr>
    <w:r>
      <w:rPr>
        <w:rFonts w:ascii="Times New Roman" w:hAnsi="Times New Roman"/>
        <w:b/>
        <w:sz w:val="32"/>
        <w:szCs w:val="32"/>
      </w:rPr>
      <w:t>CCPP – Critères de Convergences PP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DF05" w14:textId="77777777" w:rsidR="008E26EF" w:rsidRDefault="008E26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6237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54EC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0A18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AAB8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C452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EE6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F4E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7E6B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0D3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8E9958"/>
    <w:lvl w:ilvl="0">
      <w:start w:val="1"/>
      <w:numFmt w:val="bullet"/>
      <w:lvlText w:val=""/>
      <w:lvlJc w:val="left"/>
      <w:pPr>
        <w:tabs>
          <w:tab w:val="num" w:pos="360"/>
        </w:tabs>
        <w:ind w:left="360" w:hanging="360"/>
      </w:pPr>
      <w:rPr>
        <w:rFonts w:ascii="Symbol" w:hAnsi="Symbol" w:hint="default"/>
      </w:rPr>
    </w:lvl>
  </w:abstractNum>
  <w:abstractNum w:abstractNumId="10">
    <w:nsid w:val="2F133616"/>
    <w:multiLevelType w:val="hybridMultilevel"/>
    <w:tmpl w:val="F77C05C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50145234"/>
    <w:multiLevelType w:val="hybridMultilevel"/>
    <w:tmpl w:val="899E09B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2C"/>
    <w:rsid w:val="0000661B"/>
    <w:rsid w:val="0005396F"/>
    <w:rsid w:val="000663FE"/>
    <w:rsid w:val="000F2704"/>
    <w:rsid w:val="000F4504"/>
    <w:rsid w:val="001743A0"/>
    <w:rsid w:val="00216B8E"/>
    <w:rsid w:val="00252082"/>
    <w:rsid w:val="002846A7"/>
    <w:rsid w:val="00295322"/>
    <w:rsid w:val="002B7D0D"/>
    <w:rsid w:val="00347092"/>
    <w:rsid w:val="003815DB"/>
    <w:rsid w:val="003A5A4E"/>
    <w:rsid w:val="0040109F"/>
    <w:rsid w:val="004C4865"/>
    <w:rsid w:val="004E07AC"/>
    <w:rsid w:val="005724FD"/>
    <w:rsid w:val="00582463"/>
    <w:rsid w:val="005D0DBA"/>
    <w:rsid w:val="005D49BA"/>
    <w:rsid w:val="005D4C86"/>
    <w:rsid w:val="005F2EC5"/>
    <w:rsid w:val="00695F2E"/>
    <w:rsid w:val="006A3059"/>
    <w:rsid w:val="006C5319"/>
    <w:rsid w:val="006D17A3"/>
    <w:rsid w:val="00716FED"/>
    <w:rsid w:val="007938D2"/>
    <w:rsid w:val="0082545E"/>
    <w:rsid w:val="00855296"/>
    <w:rsid w:val="008605F0"/>
    <w:rsid w:val="00870081"/>
    <w:rsid w:val="008E26EF"/>
    <w:rsid w:val="00912E96"/>
    <w:rsid w:val="00956FB4"/>
    <w:rsid w:val="00963E2C"/>
    <w:rsid w:val="00972A6B"/>
    <w:rsid w:val="00981004"/>
    <w:rsid w:val="009E0338"/>
    <w:rsid w:val="00A044F2"/>
    <w:rsid w:val="00A40388"/>
    <w:rsid w:val="00A6321F"/>
    <w:rsid w:val="00A82F14"/>
    <w:rsid w:val="00B017F1"/>
    <w:rsid w:val="00B16866"/>
    <w:rsid w:val="00B75014"/>
    <w:rsid w:val="00B91746"/>
    <w:rsid w:val="00BE7F15"/>
    <w:rsid w:val="00C66412"/>
    <w:rsid w:val="00CD25E8"/>
    <w:rsid w:val="00D94C85"/>
    <w:rsid w:val="00D956EA"/>
    <w:rsid w:val="00DA473D"/>
    <w:rsid w:val="00E14581"/>
    <w:rsid w:val="00E269B0"/>
    <w:rsid w:val="00E41EC2"/>
    <w:rsid w:val="00E52DF8"/>
    <w:rsid w:val="00ED5C88"/>
    <w:rsid w:val="00F079D9"/>
    <w:rsid w:val="00F121EA"/>
    <w:rsid w:val="00F13B1A"/>
    <w:rsid w:val="00F60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9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BA"/>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963E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695F2E"/>
    <w:pPr>
      <w:tabs>
        <w:tab w:val="center" w:pos="4536"/>
        <w:tab w:val="right" w:pos="9072"/>
      </w:tabs>
      <w:spacing w:after="0" w:line="240" w:lineRule="auto"/>
    </w:pPr>
  </w:style>
  <w:style w:type="character" w:customStyle="1" w:styleId="En-tteCar">
    <w:name w:val="En-tête Car"/>
    <w:basedOn w:val="Policepardfaut"/>
    <w:link w:val="En-tte"/>
    <w:uiPriority w:val="99"/>
    <w:locked/>
    <w:rsid w:val="00695F2E"/>
    <w:rPr>
      <w:rFonts w:cs="Times New Roman"/>
    </w:rPr>
  </w:style>
  <w:style w:type="paragraph" w:styleId="Pieddepage">
    <w:name w:val="footer"/>
    <w:basedOn w:val="Normal"/>
    <w:link w:val="PieddepageCar"/>
    <w:uiPriority w:val="99"/>
    <w:rsid w:val="00695F2E"/>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95F2E"/>
    <w:rPr>
      <w:rFonts w:cs="Times New Roman"/>
    </w:rPr>
  </w:style>
  <w:style w:type="paragraph" w:styleId="Paragraphedeliste">
    <w:name w:val="List Paragraph"/>
    <w:basedOn w:val="Normal"/>
    <w:uiPriority w:val="99"/>
    <w:qFormat/>
    <w:rsid w:val="00F13B1A"/>
    <w:pPr>
      <w:ind w:left="720"/>
      <w:contextualSpacing/>
    </w:pPr>
  </w:style>
  <w:style w:type="paragraph" w:styleId="Textedebulles">
    <w:name w:val="Balloon Text"/>
    <w:basedOn w:val="Normal"/>
    <w:link w:val="TextedebullesCar"/>
    <w:uiPriority w:val="99"/>
    <w:semiHidden/>
    <w:rsid w:val="002846A7"/>
    <w:rPr>
      <w:rFonts w:ascii="Tahoma" w:hAnsi="Tahoma" w:cs="Tahoma"/>
      <w:sz w:val="16"/>
      <w:szCs w:val="16"/>
    </w:rPr>
  </w:style>
  <w:style w:type="character" w:customStyle="1" w:styleId="TextedebullesCar">
    <w:name w:val="Texte de bulles Car"/>
    <w:basedOn w:val="Policepardfaut"/>
    <w:link w:val="Textedebulles"/>
    <w:uiPriority w:val="99"/>
    <w:semiHidden/>
    <w:rsid w:val="00312D66"/>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BA"/>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963E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695F2E"/>
    <w:pPr>
      <w:tabs>
        <w:tab w:val="center" w:pos="4536"/>
        <w:tab w:val="right" w:pos="9072"/>
      </w:tabs>
      <w:spacing w:after="0" w:line="240" w:lineRule="auto"/>
    </w:pPr>
  </w:style>
  <w:style w:type="character" w:customStyle="1" w:styleId="En-tteCar">
    <w:name w:val="En-tête Car"/>
    <w:basedOn w:val="Policepardfaut"/>
    <w:link w:val="En-tte"/>
    <w:uiPriority w:val="99"/>
    <w:locked/>
    <w:rsid w:val="00695F2E"/>
    <w:rPr>
      <w:rFonts w:cs="Times New Roman"/>
    </w:rPr>
  </w:style>
  <w:style w:type="paragraph" w:styleId="Pieddepage">
    <w:name w:val="footer"/>
    <w:basedOn w:val="Normal"/>
    <w:link w:val="PieddepageCar"/>
    <w:uiPriority w:val="99"/>
    <w:rsid w:val="00695F2E"/>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95F2E"/>
    <w:rPr>
      <w:rFonts w:cs="Times New Roman"/>
    </w:rPr>
  </w:style>
  <w:style w:type="paragraph" w:styleId="Paragraphedeliste">
    <w:name w:val="List Paragraph"/>
    <w:basedOn w:val="Normal"/>
    <w:uiPriority w:val="99"/>
    <w:qFormat/>
    <w:rsid w:val="00F13B1A"/>
    <w:pPr>
      <w:ind w:left="720"/>
      <w:contextualSpacing/>
    </w:pPr>
  </w:style>
  <w:style w:type="paragraph" w:styleId="Textedebulles">
    <w:name w:val="Balloon Text"/>
    <w:basedOn w:val="Normal"/>
    <w:link w:val="TextedebullesCar"/>
    <w:uiPriority w:val="99"/>
    <w:semiHidden/>
    <w:rsid w:val="002846A7"/>
    <w:rPr>
      <w:rFonts w:ascii="Tahoma" w:hAnsi="Tahoma" w:cs="Tahoma"/>
      <w:sz w:val="16"/>
      <w:szCs w:val="16"/>
    </w:rPr>
  </w:style>
  <w:style w:type="character" w:customStyle="1" w:styleId="TextedebullesCar">
    <w:name w:val="Texte de bulles Car"/>
    <w:basedOn w:val="Policepardfaut"/>
    <w:link w:val="Textedebulles"/>
    <w:uiPriority w:val="99"/>
    <w:semiHidden/>
    <w:rsid w:val="00312D66"/>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5D94-0E8B-4FA6-BF76-01E779CB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1301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PPSS</vt:lpstr>
    </vt:vector>
  </TitlesOfParts>
  <Company>CHU de NANTES</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PPSS</dc:title>
  <dc:creator>vquistrebert@outlook.fr</dc:creator>
  <cp:lastModifiedBy>SIMON Amanda</cp:lastModifiedBy>
  <cp:revision>2</cp:revision>
  <cp:lastPrinted>2017-01-31T10:41:00Z</cp:lastPrinted>
  <dcterms:created xsi:type="dcterms:W3CDTF">2022-01-31T08:58:00Z</dcterms:created>
  <dcterms:modified xsi:type="dcterms:W3CDTF">2022-01-31T08:58:00Z</dcterms:modified>
</cp:coreProperties>
</file>